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Ultima modifica 30/04/2022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Contrattazione collettiva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Verdana" w:cs="Verdana" w:eastAsia="Verdana" w:hAnsi="Verdana"/>
          <w:color w:val="333333"/>
          <w:highlight w:val="white"/>
          <w:rtl w:val="0"/>
        </w:rPr>
        <w:t xml:space="preserve">Come previsto dalla Delibera ANAC 777/2021, si rinvia alla specifica sezione </w:t>
      </w:r>
      <w:r w:rsidDel="00000000" w:rsidR="00000000" w:rsidRPr="00000000">
        <w:rPr>
          <w:rtl w:val="0"/>
        </w:rPr>
        <w:t xml:space="preserve">https://www.trasparenzafofi.it/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